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1B0231" w:rsidRPr="001B0231" w:rsidRDefault="001B0231" w:rsidP="001B0231">
      <w:pPr>
        <w:rPr>
          <w:rFonts w:cs="Arial"/>
          <w:rtl/>
        </w:rPr>
      </w:pPr>
      <w:r w:rsidRPr="001B0231">
        <w:rPr>
          <w:rFonts w:cs="Arial" w:hint="cs"/>
          <w:rtl/>
        </w:rPr>
        <w:t>يعتبر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تعفن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الدم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أحد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الأمراض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المؤدية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للوفاة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بالرغم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من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التطور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الكبير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في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إنتاج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المضادات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الحيوية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خاصة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في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وحدات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العناية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المركزة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كما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ورد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في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الأبحاث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الحديثة</w:t>
      </w:r>
      <w:r w:rsidRPr="001B0231">
        <w:rPr>
          <w:rFonts w:cs="Arial"/>
          <w:rtl/>
        </w:rPr>
        <w:t xml:space="preserve"> . </w:t>
      </w:r>
      <w:r w:rsidRPr="001B0231">
        <w:rPr>
          <w:rFonts w:cs="Arial" w:hint="cs"/>
          <w:rtl/>
        </w:rPr>
        <w:t>إن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تشخيص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تعفن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الدم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يبقى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أحد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التحديات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وبالأخص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في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الأطفال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والمواليد</w:t>
      </w:r>
      <w:r w:rsidRPr="001B0231">
        <w:rPr>
          <w:rFonts w:cs="Arial"/>
          <w:rtl/>
        </w:rPr>
        <w:t xml:space="preserve"> . </w:t>
      </w:r>
      <w:r w:rsidRPr="001B0231">
        <w:rPr>
          <w:rFonts w:cs="Arial" w:hint="cs"/>
          <w:rtl/>
        </w:rPr>
        <w:t>وقياس</w:t>
      </w:r>
      <w:r w:rsidRPr="001B0231">
        <w:rPr>
          <w:rFonts w:cs="Arial"/>
          <w:rtl/>
        </w:rPr>
        <w:t xml:space="preserve"> </w:t>
      </w:r>
      <w:proofErr w:type="spellStart"/>
      <w:r w:rsidRPr="001B0231">
        <w:rPr>
          <w:rFonts w:cs="Arial" w:hint="cs"/>
          <w:rtl/>
        </w:rPr>
        <w:t>السيتوكين</w:t>
      </w:r>
      <w:proofErr w:type="spellEnd"/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يعد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أحد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المؤشرات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المبشرة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للتشخيص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السريع</w:t>
      </w:r>
      <w:r w:rsidRPr="001B0231">
        <w:rPr>
          <w:rFonts w:cs="Arial"/>
          <w:rtl/>
        </w:rPr>
        <w:t xml:space="preserve"> . </w:t>
      </w:r>
      <w:r w:rsidRPr="001B0231">
        <w:rPr>
          <w:rFonts w:cs="Arial" w:hint="cs"/>
          <w:rtl/>
        </w:rPr>
        <w:t>كما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أعتبر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الالتهاب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السحائي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أحد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الإصابات</w:t>
      </w:r>
      <w:r w:rsidRPr="001B0231">
        <w:rPr>
          <w:rFonts w:cs="Arial"/>
          <w:rtl/>
        </w:rPr>
        <w:t xml:space="preserve"> </w:t>
      </w:r>
      <w:proofErr w:type="spellStart"/>
      <w:r w:rsidRPr="001B0231">
        <w:rPr>
          <w:rFonts w:cs="Arial" w:hint="cs"/>
          <w:rtl/>
        </w:rPr>
        <w:t>البكترية</w:t>
      </w:r>
      <w:proofErr w:type="spellEnd"/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الخطيرة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للجهاز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العصبي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المركزي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كما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أنه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يشكل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مصدراً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عالياً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للوفاة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وإلحاق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الضرر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بالأطفال</w:t>
      </w:r>
      <w:r w:rsidRPr="001B0231">
        <w:rPr>
          <w:rFonts w:cs="Arial"/>
          <w:rtl/>
        </w:rPr>
        <w:t xml:space="preserve"> .</w:t>
      </w:r>
    </w:p>
    <w:p w:rsidR="001B0231" w:rsidRPr="001B0231" w:rsidRDefault="001B0231" w:rsidP="001B0231">
      <w:pPr>
        <w:rPr>
          <w:rFonts w:cs="Arial"/>
          <w:rtl/>
        </w:rPr>
      </w:pPr>
      <w:r w:rsidRPr="001B0231">
        <w:rPr>
          <w:rFonts w:cs="Arial"/>
          <w:rtl/>
        </w:rPr>
        <w:tab/>
      </w:r>
      <w:r w:rsidRPr="001B0231">
        <w:rPr>
          <w:rFonts w:cs="Arial" w:hint="cs"/>
          <w:rtl/>
        </w:rPr>
        <w:t>أن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العديد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من</w:t>
      </w:r>
      <w:r w:rsidRPr="001B0231">
        <w:rPr>
          <w:rFonts w:cs="Arial"/>
          <w:rtl/>
        </w:rPr>
        <w:t xml:space="preserve"> </w:t>
      </w:r>
      <w:proofErr w:type="spellStart"/>
      <w:r w:rsidRPr="001B0231">
        <w:rPr>
          <w:rFonts w:cs="Arial" w:hint="cs"/>
          <w:rtl/>
        </w:rPr>
        <w:t>السيتوكينز</w:t>
      </w:r>
      <w:proofErr w:type="spellEnd"/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يتم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تكوينها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بالجسم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أثناء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عملية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الاستجابة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المناعية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نتيجة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لتواجد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البكتريا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في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الجسم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وتشمل</w:t>
      </w:r>
      <w:r w:rsidRPr="001B0231">
        <w:rPr>
          <w:rFonts w:cs="Arial"/>
          <w:rtl/>
        </w:rPr>
        <w:t xml:space="preserve"> ( </w:t>
      </w:r>
      <w:r w:rsidRPr="001B0231">
        <w:rPr>
          <w:rFonts w:cs="Arial"/>
        </w:rPr>
        <w:t>TNI a, INF –Y</w:t>
      </w:r>
      <w:r w:rsidRPr="001B0231">
        <w:rPr>
          <w:rFonts w:cs="Arial"/>
          <w:rtl/>
        </w:rPr>
        <w:t>, ) .</w:t>
      </w:r>
    </w:p>
    <w:p w:rsidR="001B0231" w:rsidRPr="001B0231" w:rsidRDefault="001B0231" w:rsidP="001B0231">
      <w:pPr>
        <w:rPr>
          <w:rFonts w:cs="Arial"/>
          <w:rtl/>
        </w:rPr>
      </w:pPr>
      <w:r w:rsidRPr="001B0231">
        <w:rPr>
          <w:rFonts w:cs="Arial" w:hint="cs"/>
          <w:rtl/>
        </w:rPr>
        <w:t>أن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تعيين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تركيز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قياس</w:t>
      </w:r>
      <w:r w:rsidRPr="001B0231">
        <w:rPr>
          <w:rFonts w:cs="Arial"/>
          <w:rtl/>
        </w:rPr>
        <w:t xml:space="preserve"> </w:t>
      </w:r>
      <w:proofErr w:type="spellStart"/>
      <w:r w:rsidRPr="001B0231">
        <w:rPr>
          <w:rFonts w:cs="Arial" w:hint="cs"/>
          <w:rtl/>
        </w:rPr>
        <w:t>السيتوكين</w:t>
      </w:r>
      <w:proofErr w:type="spellEnd"/>
      <w:r w:rsidRPr="001B0231">
        <w:rPr>
          <w:rFonts w:cs="Arial"/>
          <w:rtl/>
        </w:rPr>
        <w:t xml:space="preserve">  </w:t>
      </w:r>
      <w:r w:rsidRPr="001B0231">
        <w:rPr>
          <w:rFonts w:cs="Arial"/>
        </w:rPr>
        <w:t>IL-6 , IL-1</w:t>
      </w:r>
      <w:r w:rsidRPr="001B0231">
        <w:rPr>
          <w:rFonts w:cs="Arial" w:hint="cs"/>
          <w:rtl/>
        </w:rPr>
        <w:t>و</w:t>
      </w:r>
      <w:r w:rsidRPr="001B0231">
        <w:rPr>
          <w:rFonts w:cs="Arial"/>
          <w:rtl/>
        </w:rPr>
        <w:t xml:space="preserve"> </w:t>
      </w:r>
      <w:r w:rsidRPr="001B0231">
        <w:rPr>
          <w:rFonts w:cs="Arial"/>
        </w:rPr>
        <w:t>TNF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يساعد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في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التشخيص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والعلاج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المبكر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،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وأجريت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هذه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الدراسة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المستقبلية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وركزت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على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مقارنة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بعض</w:t>
      </w:r>
      <w:r w:rsidRPr="001B0231">
        <w:rPr>
          <w:rFonts w:cs="Arial"/>
          <w:rtl/>
        </w:rPr>
        <w:t xml:space="preserve"> </w:t>
      </w:r>
      <w:proofErr w:type="spellStart"/>
      <w:r w:rsidRPr="001B0231">
        <w:rPr>
          <w:rFonts w:cs="Arial" w:hint="cs"/>
          <w:rtl/>
        </w:rPr>
        <w:t>السيتوكين</w:t>
      </w:r>
      <w:proofErr w:type="spellEnd"/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في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مرضى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التهاب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السحائي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وتعفن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الدم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بمجموعة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مرجعية</w:t>
      </w:r>
      <w:r w:rsidRPr="001B0231">
        <w:rPr>
          <w:rFonts w:cs="Arial"/>
          <w:rtl/>
        </w:rPr>
        <w:t xml:space="preserve"> .</w:t>
      </w:r>
    </w:p>
    <w:p w:rsidR="001B0231" w:rsidRPr="001B0231" w:rsidRDefault="001B0231" w:rsidP="001B0231">
      <w:pPr>
        <w:rPr>
          <w:rFonts w:cs="Arial"/>
          <w:rtl/>
        </w:rPr>
      </w:pPr>
      <w:r w:rsidRPr="001B0231">
        <w:rPr>
          <w:rFonts w:cs="Arial"/>
          <w:rtl/>
        </w:rPr>
        <w:tab/>
      </w:r>
      <w:r w:rsidRPr="001B0231">
        <w:rPr>
          <w:rFonts w:cs="Arial" w:hint="cs"/>
          <w:rtl/>
        </w:rPr>
        <w:t>أهم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النتائج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الرئيسية</w:t>
      </w:r>
      <w:r w:rsidRPr="001B0231">
        <w:rPr>
          <w:rFonts w:cs="Arial"/>
          <w:rtl/>
        </w:rPr>
        <w:t xml:space="preserve"> : </w:t>
      </w:r>
    </w:p>
    <w:p w:rsidR="001B0231" w:rsidRPr="001B0231" w:rsidRDefault="001B0231" w:rsidP="001B0231">
      <w:pPr>
        <w:rPr>
          <w:rFonts w:cs="Arial"/>
          <w:rtl/>
        </w:rPr>
      </w:pPr>
      <w:r w:rsidRPr="001B0231">
        <w:rPr>
          <w:rFonts w:cs="Arial"/>
          <w:rtl/>
        </w:rPr>
        <w:t>1.</w:t>
      </w:r>
      <w:r w:rsidRPr="001B0231">
        <w:rPr>
          <w:rFonts w:cs="Arial"/>
          <w:rtl/>
        </w:rPr>
        <w:tab/>
      </w:r>
      <w:r w:rsidRPr="001B0231">
        <w:rPr>
          <w:rFonts w:cs="Arial" w:hint="cs"/>
          <w:rtl/>
        </w:rPr>
        <w:t>جميع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المرضى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المصابين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بتعفن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الدم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وجد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أن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مستوى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تركيز</w:t>
      </w:r>
      <w:r w:rsidRPr="001B0231">
        <w:rPr>
          <w:rFonts w:cs="Arial"/>
          <w:rtl/>
        </w:rPr>
        <w:t xml:space="preserve"> </w:t>
      </w:r>
      <w:proofErr w:type="spellStart"/>
      <w:r w:rsidRPr="001B0231">
        <w:rPr>
          <w:rFonts w:cs="Arial" w:hint="cs"/>
          <w:rtl/>
        </w:rPr>
        <w:t>السيتوكينز</w:t>
      </w:r>
      <w:proofErr w:type="spellEnd"/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أعلى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مقارنة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بالمجموعة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المرجعية</w:t>
      </w:r>
      <w:r w:rsidRPr="001B0231">
        <w:rPr>
          <w:rFonts w:cs="Arial"/>
          <w:rtl/>
        </w:rPr>
        <w:t xml:space="preserve"> ( </w:t>
      </w:r>
      <w:r w:rsidRPr="001B0231">
        <w:rPr>
          <w:rFonts w:cs="Arial" w:hint="cs"/>
          <w:rtl/>
        </w:rPr>
        <w:t>غير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مرضي</w:t>
      </w:r>
      <w:r w:rsidRPr="001B0231">
        <w:rPr>
          <w:rFonts w:cs="Arial"/>
          <w:rtl/>
        </w:rPr>
        <w:t xml:space="preserve"> ) ( 0.05 ).</w:t>
      </w:r>
    </w:p>
    <w:p w:rsidR="001B0231" w:rsidRPr="001B0231" w:rsidRDefault="001B0231" w:rsidP="001B0231">
      <w:pPr>
        <w:rPr>
          <w:rFonts w:cs="Arial"/>
          <w:rtl/>
        </w:rPr>
      </w:pPr>
      <w:r w:rsidRPr="001B0231">
        <w:rPr>
          <w:rFonts w:cs="Arial"/>
          <w:rtl/>
        </w:rPr>
        <w:t>2.</w:t>
      </w:r>
      <w:r w:rsidRPr="001B0231">
        <w:rPr>
          <w:rFonts w:cs="Arial"/>
          <w:rtl/>
        </w:rPr>
        <w:tab/>
      </w:r>
      <w:r w:rsidRPr="001B0231">
        <w:rPr>
          <w:rFonts w:cs="Arial" w:hint="cs"/>
          <w:rtl/>
        </w:rPr>
        <w:t>في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المرضى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الذين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ثبت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أصابتهم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بالالتهاب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السحائي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بواسطة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المزرعة</w:t>
      </w:r>
      <w:r w:rsidRPr="001B0231">
        <w:rPr>
          <w:rFonts w:cs="Arial"/>
          <w:rtl/>
        </w:rPr>
        <w:t xml:space="preserve"> </w:t>
      </w:r>
      <w:proofErr w:type="spellStart"/>
      <w:r w:rsidRPr="001B0231">
        <w:rPr>
          <w:rFonts w:cs="Arial" w:hint="cs"/>
          <w:rtl/>
        </w:rPr>
        <w:t>البكترية</w:t>
      </w:r>
      <w:proofErr w:type="spellEnd"/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فان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المقارنة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بين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متوسطات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تركيز</w:t>
      </w:r>
      <w:r w:rsidRPr="001B0231">
        <w:rPr>
          <w:rFonts w:cs="Arial"/>
          <w:rtl/>
        </w:rPr>
        <w:t xml:space="preserve"> </w:t>
      </w:r>
      <w:proofErr w:type="spellStart"/>
      <w:r w:rsidRPr="001B0231">
        <w:rPr>
          <w:rFonts w:cs="Arial" w:hint="cs"/>
          <w:rtl/>
        </w:rPr>
        <w:t>السيتوكين</w:t>
      </w:r>
      <w:proofErr w:type="spellEnd"/>
      <w:r w:rsidRPr="001B0231">
        <w:rPr>
          <w:rFonts w:cs="Arial"/>
          <w:rtl/>
        </w:rPr>
        <w:t xml:space="preserve"> </w:t>
      </w:r>
      <w:r w:rsidRPr="001B0231">
        <w:rPr>
          <w:rFonts w:cs="Arial"/>
        </w:rPr>
        <w:t>IL-6 , IL-1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لديهم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مقارنة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بالمجموعة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المرجعية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أظهر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فروقات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معنوية</w:t>
      </w:r>
      <w:r w:rsidRPr="001B0231">
        <w:rPr>
          <w:rFonts w:cs="Arial"/>
          <w:rtl/>
        </w:rPr>
        <w:t xml:space="preserve"> ( </w:t>
      </w:r>
      <w:r w:rsidRPr="001B0231">
        <w:rPr>
          <w:rFonts w:cs="Arial"/>
        </w:rPr>
        <w:t>P&gt;0.05</w:t>
      </w:r>
      <w:r w:rsidRPr="001B0231">
        <w:rPr>
          <w:rFonts w:cs="Arial"/>
          <w:rtl/>
        </w:rPr>
        <w:t xml:space="preserve"> ) </w:t>
      </w:r>
      <w:r w:rsidRPr="001B0231">
        <w:rPr>
          <w:rFonts w:cs="Arial" w:hint="cs"/>
          <w:rtl/>
        </w:rPr>
        <w:t>بينما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لم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يتضح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فروقات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في</w:t>
      </w:r>
      <w:r w:rsidRPr="001B0231">
        <w:rPr>
          <w:rFonts w:cs="Arial"/>
          <w:rtl/>
        </w:rPr>
        <w:t xml:space="preserve"> </w:t>
      </w:r>
      <w:r w:rsidRPr="001B0231">
        <w:rPr>
          <w:rFonts w:cs="Arial"/>
        </w:rPr>
        <w:t>TNF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أو</w:t>
      </w:r>
      <w:r w:rsidRPr="001B0231">
        <w:rPr>
          <w:rFonts w:cs="Arial"/>
          <w:rtl/>
        </w:rPr>
        <w:t xml:space="preserve"> </w:t>
      </w:r>
      <w:r w:rsidRPr="001B0231">
        <w:rPr>
          <w:rFonts w:cs="Arial"/>
        </w:rPr>
        <w:t>CRP</w:t>
      </w:r>
      <w:r w:rsidRPr="001B0231">
        <w:rPr>
          <w:rFonts w:cs="Arial"/>
          <w:rtl/>
        </w:rPr>
        <w:t>&gt;</w:t>
      </w:r>
    </w:p>
    <w:p w:rsidR="00EE464E" w:rsidRDefault="001B0231" w:rsidP="001B0231">
      <w:pPr>
        <w:rPr>
          <w:rFonts w:hint="cs"/>
          <w:b/>
          <w:bCs/>
          <w:rtl/>
        </w:rPr>
      </w:pPr>
      <w:r w:rsidRPr="001B0231">
        <w:rPr>
          <w:rFonts w:cs="Arial" w:hint="cs"/>
          <w:rtl/>
        </w:rPr>
        <w:t>في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المرضى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الذين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لم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يثبت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إصابتهم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بواسطة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المزرعة</w:t>
      </w:r>
      <w:r w:rsidRPr="001B0231">
        <w:rPr>
          <w:rFonts w:cs="Arial"/>
          <w:rtl/>
        </w:rPr>
        <w:t xml:space="preserve"> </w:t>
      </w:r>
      <w:proofErr w:type="spellStart"/>
      <w:r w:rsidRPr="001B0231">
        <w:rPr>
          <w:rFonts w:cs="Arial" w:hint="cs"/>
          <w:rtl/>
        </w:rPr>
        <w:t>البكترية</w:t>
      </w:r>
      <w:proofErr w:type="spellEnd"/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لم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يثبت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وجود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فروقات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معنوية</w:t>
      </w:r>
      <w:r w:rsidRPr="001B0231">
        <w:rPr>
          <w:rFonts w:cs="Arial"/>
          <w:rtl/>
        </w:rPr>
        <w:t xml:space="preserve"> ( </w:t>
      </w:r>
      <w:r w:rsidRPr="001B0231">
        <w:rPr>
          <w:rFonts w:cs="Arial"/>
        </w:rPr>
        <w:t>P&gt;0.05</w:t>
      </w:r>
      <w:r w:rsidRPr="001B0231">
        <w:rPr>
          <w:rFonts w:cs="Arial"/>
          <w:rtl/>
        </w:rPr>
        <w:t xml:space="preserve"> ) </w:t>
      </w:r>
      <w:r w:rsidRPr="001B0231">
        <w:rPr>
          <w:rFonts w:cs="Arial" w:hint="cs"/>
          <w:rtl/>
        </w:rPr>
        <w:t>في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المرضى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المصابين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بالالتهاب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السحائي</w:t>
      </w:r>
      <w:r w:rsidRPr="001B0231">
        <w:rPr>
          <w:rFonts w:cs="Arial"/>
          <w:rtl/>
        </w:rPr>
        <w:t xml:space="preserve"> ( 0.025 ) </w:t>
      </w:r>
      <w:r w:rsidRPr="001B0231">
        <w:rPr>
          <w:rFonts w:cs="Arial" w:hint="cs"/>
          <w:rtl/>
        </w:rPr>
        <w:t>أو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تعفن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الدم</w:t>
      </w:r>
      <w:r w:rsidRPr="001B0231">
        <w:rPr>
          <w:rFonts w:cs="Arial"/>
          <w:rtl/>
        </w:rPr>
        <w:t xml:space="preserve"> (0.044) . </w:t>
      </w:r>
      <w:r w:rsidRPr="001B0231">
        <w:rPr>
          <w:rFonts w:cs="Arial" w:hint="cs"/>
          <w:rtl/>
        </w:rPr>
        <w:t>باستثناء</w:t>
      </w:r>
      <w:r w:rsidRPr="001B0231">
        <w:rPr>
          <w:rFonts w:cs="Arial"/>
        </w:rPr>
        <w:t>TNF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الذي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أظهر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مستواه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فرقاً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معنوياً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مقارنةً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بالمجموعة</w:t>
      </w:r>
      <w:r w:rsidRPr="001B0231">
        <w:rPr>
          <w:rFonts w:cs="Arial"/>
          <w:rtl/>
        </w:rPr>
        <w:t xml:space="preserve"> </w:t>
      </w:r>
      <w:r w:rsidRPr="001B0231">
        <w:rPr>
          <w:rFonts w:cs="Arial" w:hint="cs"/>
          <w:rtl/>
        </w:rPr>
        <w:t>المرجعية</w:t>
      </w:r>
      <w:r w:rsidRPr="001B0231">
        <w:rPr>
          <w:rFonts w:cs="Arial"/>
          <w:rtl/>
        </w:rPr>
        <w:t xml:space="preserve"> .</w:t>
      </w:r>
    </w:p>
    <w:p w:rsidR="001B0231" w:rsidRDefault="001B0231" w:rsidP="001B0231">
      <w:pPr>
        <w:rPr>
          <w:rFonts w:hint="cs"/>
          <w:b/>
          <w:bCs/>
          <w:rtl/>
        </w:rPr>
      </w:pPr>
    </w:p>
    <w:p w:rsidR="001B0231" w:rsidRDefault="001B0231" w:rsidP="001B0231">
      <w:pPr>
        <w:rPr>
          <w:rFonts w:hint="cs"/>
          <w:b/>
          <w:bCs/>
          <w:rtl/>
        </w:rPr>
      </w:pPr>
    </w:p>
    <w:p w:rsidR="001B0231" w:rsidRPr="003D4022" w:rsidRDefault="001B0231" w:rsidP="001B0231">
      <w:pPr>
        <w:rPr>
          <w:rFonts w:hint="cs"/>
          <w:b/>
          <w:bCs/>
          <w:rtl/>
        </w:rPr>
      </w:pPr>
      <w:bookmarkStart w:id="0" w:name="_GoBack"/>
      <w:bookmarkEnd w:id="0"/>
    </w:p>
    <w:p w:rsidR="00DC5245" w:rsidRPr="00DC5245" w:rsidRDefault="003B600E" w:rsidP="00DC5245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1B0231" w:rsidRPr="001B0231" w:rsidRDefault="001B0231" w:rsidP="001B0231">
      <w:pPr>
        <w:bidi w:val="0"/>
        <w:spacing w:after="0"/>
        <w:rPr>
          <w:rFonts w:cs="Arial"/>
        </w:rPr>
      </w:pPr>
      <w:r w:rsidRPr="001B0231">
        <w:rPr>
          <w:rFonts w:cs="Arial"/>
        </w:rPr>
        <w:t>Sepsis is a disease leading to death in spite of great development in the production of antibiotics, especially in intensive care units as indicated in recent research. The diagnosis of sepsis remains a challenge, especially in children and babies. And measuring the cytokine is a promising indicator for rapid diagnosis. Meningitis is also considered a serious bacterial infections of the central nervous system and is a high source of death and harm to children.</w:t>
      </w:r>
    </w:p>
    <w:p w:rsidR="001B0231" w:rsidRPr="001B0231" w:rsidRDefault="001B0231" w:rsidP="001B0231">
      <w:pPr>
        <w:bidi w:val="0"/>
        <w:spacing w:after="0"/>
        <w:rPr>
          <w:rFonts w:cs="Arial"/>
        </w:rPr>
      </w:pPr>
      <w:r w:rsidRPr="001B0231">
        <w:rPr>
          <w:rFonts w:cs="Arial"/>
        </w:rPr>
        <w:t xml:space="preserve">That many of the </w:t>
      </w:r>
      <w:proofErr w:type="spellStart"/>
      <w:r w:rsidRPr="001B0231">
        <w:rPr>
          <w:rFonts w:cs="Arial"/>
        </w:rPr>
        <w:t>Alcetokins</w:t>
      </w:r>
      <w:proofErr w:type="spellEnd"/>
      <w:r w:rsidRPr="001B0231">
        <w:rPr>
          <w:rFonts w:cs="Arial"/>
        </w:rPr>
        <w:t xml:space="preserve"> body is configured during the process of the immune response to the presence of bacteria in the body include (TNI a, INF-Y,).</w:t>
      </w:r>
    </w:p>
    <w:p w:rsidR="001B0231" w:rsidRPr="001B0231" w:rsidRDefault="001B0231" w:rsidP="001B0231">
      <w:pPr>
        <w:bidi w:val="0"/>
        <w:spacing w:after="0"/>
        <w:rPr>
          <w:rFonts w:cs="Arial"/>
        </w:rPr>
      </w:pPr>
      <w:r w:rsidRPr="001B0231">
        <w:rPr>
          <w:rFonts w:cs="Arial"/>
        </w:rPr>
        <w:t>That the appointment of measuring the concentration of cytokine IL-6, IL-1 and TNF helps in the diagnosis and early treatment, and conducted this study and future focused on a comparison of some cytokines in patients with meningitis and sepsis with a reference.</w:t>
      </w:r>
    </w:p>
    <w:p w:rsidR="001B0231" w:rsidRPr="001B0231" w:rsidRDefault="001B0231" w:rsidP="001B0231">
      <w:pPr>
        <w:bidi w:val="0"/>
        <w:spacing w:after="0"/>
        <w:rPr>
          <w:rFonts w:cs="Arial"/>
        </w:rPr>
      </w:pPr>
      <w:r w:rsidRPr="001B0231">
        <w:rPr>
          <w:rFonts w:cs="Arial"/>
        </w:rPr>
        <w:t>Main results:</w:t>
      </w:r>
    </w:p>
    <w:p w:rsidR="001B0231" w:rsidRPr="001B0231" w:rsidRDefault="001B0231" w:rsidP="001B0231">
      <w:pPr>
        <w:bidi w:val="0"/>
        <w:spacing w:after="0"/>
        <w:rPr>
          <w:rFonts w:cs="Arial"/>
        </w:rPr>
      </w:pPr>
      <w:r w:rsidRPr="001B0231">
        <w:rPr>
          <w:rFonts w:cs="Arial"/>
        </w:rPr>
        <w:t xml:space="preserve">1. All patients with blood </w:t>
      </w:r>
      <w:proofErr w:type="spellStart"/>
      <w:r w:rsidRPr="001B0231">
        <w:rPr>
          <w:rFonts w:cs="Arial"/>
        </w:rPr>
        <w:t>Ptafn</w:t>
      </w:r>
      <w:proofErr w:type="spellEnd"/>
      <w:r w:rsidRPr="001B0231">
        <w:rPr>
          <w:rFonts w:cs="Arial"/>
        </w:rPr>
        <w:t xml:space="preserve"> found that the level of concentration </w:t>
      </w:r>
      <w:proofErr w:type="spellStart"/>
      <w:r w:rsidRPr="001B0231">
        <w:rPr>
          <w:rFonts w:cs="Arial"/>
        </w:rPr>
        <w:t>Alcetokins</w:t>
      </w:r>
      <w:proofErr w:type="spellEnd"/>
      <w:r w:rsidRPr="001B0231">
        <w:rPr>
          <w:rFonts w:cs="Arial"/>
        </w:rPr>
        <w:t xml:space="preserve"> higher than the reference group (other patients) (0.05).</w:t>
      </w:r>
    </w:p>
    <w:p w:rsidR="001B0231" w:rsidRPr="001B0231" w:rsidRDefault="001B0231" w:rsidP="001B0231">
      <w:pPr>
        <w:bidi w:val="0"/>
        <w:spacing w:after="0"/>
        <w:rPr>
          <w:rFonts w:cs="Arial"/>
        </w:rPr>
      </w:pPr>
      <w:r w:rsidRPr="001B0231">
        <w:rPr>
          <w:rFonts w:cs="Arial"/>
        </w:rPr>
        <w:t>2. In patients with proven pneumonia bacterial meningitis by the farm, the comparison between the average concentration of cytokine IL-6, IL-1 compared with the reference group showed significant differences (P&gt; 0.05) while no clear differences in TNF or CRP&gt;</w:t>
      </w:r>
    </w:p>
    <w:p w:rsidR="00455431" w:rsidRDefault="001B0231" w:rsidP="001B0231">
      <w:pPr>
        <w:bidi w:val="0"/>
        <w:spacing w:after="0"/>
        <w:rPr>
          <w:rFonts w:cs="Arial"/>
        </w:rPr>
      </w:pPr>
      <w:r w:rsidRPr="001B0231">
        <w:rPr>
          <w:rFonts w:cs="Arial"/>
        </w:rPr>
        <w:lastRenderedPageBreak/>
        <w:t>In patients who did not demonstrate bacterial infection by the farm did not prove the existence of significant differences (P&gt; 0.05) in patients with meningitis (0.025) or sepsis (0.044). With the exception of TNF which showed a level of moral difference compared to the reference group.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2540F"/>
    <w:rsid w:val="000301DE"/>
    <w:rsid w:val="00030711"/>
    <w:rsid w:val="000333A8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B2E4C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7985"/>
    <w:rsid w:val="001006D6"/>
    <w:rsid w:val="00103BEC"/>
    <w:rsid w:val="00103D44"/>
    <w:rsid w:val="001049E0"/>
    <w:rsid w:val="00107667"/>
    <w:rsid w:val="00107818"/>
    <w:rsid w:val="00116422"/>
    <w:rsid w:val="001222E4"/>
    <w:rsid w:val="00123471"/>
    <w:rsid w:val="00124A13"/>
    <w:rsid w:val="00127BF1"/>
    <w:rsid w:val="00130301"/>
    <w:rsid w:val="00134EBC"/>
    <w:rsid w:val="00136252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43F6"/>
    <w:rsid w:val="00155764"/>
    <w:rsid w:val="00156815"/>
    <w:rsid w:val="0016074B"/>
    <w:rsid w:val="00160BA5"/>
    <w:rsid w:val="001615F1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45CC"/>
    <w:rsid w:val="001F5370"/>
    <w:rsid w:val="002002A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40CF"/>
    <w:rsid w:val="002F4FBB"/>
    <w:rsid w:val="0030092F"/>
    <w:rsid w:val="00302730"/>
    <w:rsid w:val="00304C65"/>
    <w:rsid w:val="0030558A"/>
    <w:rsid w:val="00310FA2"/>
    <w:rsid w:val="00311599"/>
    <w:rsid w:val="00312010"/>
    <w:rsid w:val="003132D9"/>
    <w:rsid w:val="003139F7"/>
    <w:rsid w:val="00315FB3"/>
    <w:rsid w:val="003166C3"/>
    <w:rsid w:val="0031723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81A4D"/>
    <w:rsid w:val="0038295D"/>
    <w:rsid w:val="00386AA3"/>
    <w:rsid w:val="00386C60"/>
    <w:rsid w:val="00387CEF"/>
    <w:rsid w:val="00390404"/>
    <w:rsid w:val="003921A1"/>
    <w:rsid w:val="00396103"/>
    <w:rsid w:val="00396E4C"/>
    <w:rsid w:val="003A1E74"/>
    <w:rsid w:val="003A26FE"/>
    <w:rsid w:val="003A6642"/>
    <w:rsid w:val="003A75D0"/>
    <w:rsid w:val="003B600E"/>
    <w:rsid w:val="003B6C95"/>
    <w:rsid w:val="003C0AA1"/>
    <w:rsid w:val="003C1136"/>
    <w:rsid w:val="003C3792"/>
    <w:rsid w:val="003C3A65"/>
    <w:rsid w:val="003C3ED8"/>
    <w:rsid w:val="003C5AC8"/>
    <w:rsid w:val="003C78D6"/>
    <w:rsid w:val="003D1081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5691"/>
    <w:rsid w:val="004A16EB"/>
    <w:rsid w:val="004A2094"/>
    <w:rsid w:val="004A2C24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1826"/>
    <w:rsid w:val="00507202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5985"/>
    <w:rsid w:val="00526A48"/>
    <w:rsid w:val="00530A07"/>
    <w:rsid w:val="00533417"/>
    <w:rsid w:val="00533F5F"/>
    <w:rsid w:val="00534122"/>
    <w:rsid w:val="00536E46"/>
    <w:rsid w:val="00537107"/>
    <w:rsid w:val="0053728C"/>
    <w:rsid w:val="00540821"/>
    <w:rsid w:val="005411D8"/>
    <w:rsid w:val="0054260F"/>
    <w:rsid w:val="00542F2E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C87"/>
    <w:rsid w:val="00586ED1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5A01"/>
    <w:rsid w:val="005E5F3F"/>
    <w:rsid w:val="005E7151"/>
    <w:rsid w:val="005E7C0D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116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320C"/>
    <w:rsid w:val="00704A59"/>
    <w:rsid w:val="00704C54"/>
    <w:rsid w:val="0070666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613D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6F7A"/>
    <w:rsid w:val="0084178F"/>
    <w:rsid w:val="00841942"/>
    <w:rsid w:val="008439C2"/>
    <w:rsid w:val="0084619D"/>
    <w:rsid w:val="00847D9C"/>
    <w:rsid w:val="008519E4"/>
    <w:rsid w:val="00851C21"/>
    <w:rsid w:val="00855A8A"/>
    <w:rsid w:val="00855C43"/>
    <w:rsid w:val="00856066"/>
    <w:rsid w:val="00861C69"/>
    <w:rsid w:val="008659F6"/>
    <w:rsid w:val="00875278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411E"/>
    <w:rsid w:val="0097465A"/>
    <w:rsid w:val="00975893"/>
    <w:rsid w:val="00976D20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231F"/>
    <w:rsid w:val="009A50B9"/>
    <w:rsid w:val="009A56B7"/>
    <w:rsid w:val="009A6025"/>
    <w:rsid w:val="009A660D"/>
    <w:rsid w:val="009A7ABD"/>
    <w:rsid w:val="009B5321"/>
    <w:rsid w:val="009B5B48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C0431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25DE"/>
    <w:rsid w:val="00BD4664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1CA9"/>
    <w:rsid w:val="00CB2546"/>
    <w:rsid w:val="00CB257A"/>
    <w:rsid w:val="00CB2752"/>
    <w:rsid w:val="00CB6A51"/>
    <w:rsid w:val="00CB6EDF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37D4"/>
    <w:rsid w:val="00D171D7"/>
    <w:rsid w:val="00D172D0"/>
    <w:rsid w:val="00D177CF"/>
    <w:rsid w:val="00D203B5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3E7"/>
    <w:rsid w:val="00D87611"/>
    <w:rsid w:val="00D90624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6F06"/>
    <w:rsid w:val="00E21840"/>
    <w:rsid w:val="00E22E91"/>
    <w:rsid w:val="00E23CA0"/>
    <w:rsid w:val="00E23CED"/>
    <w:rsid w:val="00E2746F"/>
    <w:rsid w:val="00E301EB"/>
    <w:rsid w:val="00E30283"/>
    <w:rsid w:val="00E30719"/>
    <w:rsid w:val="00E30EFD"/>
    <w:rsid w:val="00E363EB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F4F"/>
    <w:rsid w:val="00EC0FC5"/>
    <w:rsid w:val="00EC1416"/>
    <w:rsid w:val="00EC2FD8"/>
    <w:rsid w:val="00EC4250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464E"/>
    <w:rsid w:val="00EE7B6D"/>
    <w:rsid w:val="00EF028B"/>
    <w:rsid w:val="00EF191C"/>
    <w:rsid w:val="00EF3360"/>
    <w:rsid w:val="00EF364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336B"/>
    <w:rsid w:val="00F25609"/>
    <w:rsid w:val="00F2598B"/>
    <w:rsid w:val="00F260B9"/>
    <w:rsid w:val="00F27E5C"/>
    <w:rsid w:val="00F30EBF"/>
    <w:rsid w:val="00F34FAF"/>
    <w:rsid w:val="00F35C66"/>
    <w:rsid w:val="00F40B63"/>
    <w:rsid w:val="00F41316"/>
    <w:rsid w:val="00F43BDE"/>
    <w:rsid w:val="00F43BF5"/>
    <w:rsid w:val="00F45D48"/>
    <w:rsid w:val="00F46589"/>
    <w:rsid w:val="00F53096"/>
    <w:rsid w:val="00F5382F"/>
    <w:rsid w:val="00F55BDF"/>
    <w:rsid w:val="00F55F4A"/>
    <w:rsid w:val="00F560D9"/>
    <w:rsid w:val="00F5752D"/>
    <w:rsid w:val="00F57BC1"/>
    <w:rsid w:val="00F60F4E"/>
    <w:rsid w:val="00F660FF"/>
    <w:rsid w:val="00F66169"/>
    <w:rsid w:val="00F66F9E"/>
    <w:rsid w:val="00F71D1B"/>
    <w:rsid w:val="00F760E8"/>
    <w:rsid w:val="00F81111"/>
    <w:rsid w:val="00F81BF5"/>
    <w:rsid w:val="00F868DA"/>
    <w:rsid w:val="00F86D06"/>
    <w:rsid w:val="00F878FE"/>
    <w:rsid w:val="00F94B52"/>
    <w:rsid w:val="00F95D58"/>
    <w:rsid w:val="00F96B2E"/>
    <w:rsid w:val="00F9748C"/>
    <w:rsid w:val="00FA048E"/>
    <w:rsid w:val="00FA3869"/>
    <w:rsid w:val="00FA3A6E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5BC2"/>
    <w:rsid w:val="00FD697E"/>
    <w:rsid w:val="00FE0875"/>
    <w:rsid w:val="00FE20F8"/>
    <w:rsid w:val="00FE2FF2"/>
    <w:rsid w:val="00FE4935"/>
    <w:rsid w:val="00FE5420"/>
    <w:rsid w:val="00FE5423"/>
    <w:rsid w:val="00FF09E8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EDF8-1318-4705-B3E6-E86F5A6B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2011-09-27T11:58:00Z</dcterms:created>
  <dcterms:modified xsi:type="dcterms:W3CDTF">2011-09-27T11:59:00Z</dcterms:modified>
</cp:coreProperties>
</file>